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FA" w:rsidRPr="00645AFA" w:rsidRDefault="00645AFA" w:rsidP="000654AB">
      <w:pPr>
        <w:keepNext/>
        <w:keepLines/>
        <w:spacing w:beforeLines="100" w:line="420" w:lineRule="auto"/>
        <w:outlineLvl w:val="2"/>
        <w:rPr>
          <w:rFonts w:ascii="Calibri" w:hAnsi="Calibri" w:cs="Times New Roman"/>
          <w:b/>
          <w:bCs/>
          <w:spacing w:val="20"/>
          <w:sz w:val="24"/>
          <w:szCs w:val="32"/>
        </w:rPr>
      </w:pPr>
      <w:bookmarkStart w:id="0" w:name="_Toc31975"/>
      <w:bookmarkStart w:id="1" w:name="_Toc8213"/>
      <w:bookmarkStart w:id="2" w:name="_Toc28361"/>
      <w:bookmarkStart w:id="3" w:name="_Toc18273"/>
      <w:bookmarkStart w:id="4" w:name="_Toc1676"/>
      <w:r w:rsidRPr="00645AFA">
        <w:rPr>
          <w:rFonts w:ascii="Calibri" w:hAnsi="Calibri" w:cs="Times New Roman" w:hint="eastAsia"/>
          <w:b/>
          <w:bCs/>
          <w:spacing w:val="20"/>
          <w:sz w:val="24"/>
          <w:szCs w:val="32"/>
        </w:rPr>
        <w:t>附件：</w:t>
      </w:r>
      <w:bookmarkEnd w:id="0"/>
      <w:bookmarkEnd w:id="1"/>
      <w:bookmarkEnd w:id="2"/>
      <w:bookmarkEnd w:id="3"/>
      <w:bookmarkEnd w:id="4"/>
    </w:p>
    <w:p w:rsidR="00645AFA" w:rsidRPr="00645AFA" w:rsidRDefault="00645AFA" w:rsidP="000654AB">
      <w:pPr>
        <w:keepNext/>
        <w:keepLines/>
        <w:spacing w:beforeLines="100" w:line="420" w:lineRule="auto"/>
        <w:jc w:val="center"/>
        <w:outlineLvl w:val="2"/>
        <w:rPr>
          <w:rFonts w:ascii="宋体" w:hAnsi="宋体" w:cs="宋体"/>
          <w:b/>
          <w:bCs/>
          <w:spacing w:val="20"/>
          <w:szCs w:val="21"/>
        </w:rPr>
      </w:pPr>
      <w:bookmarkStart w:id="5" w:name="_Toc26451"/>
      <w:bookmarkStart w:id="6" w:name="_Toc2723"/>
      <w:bookmarkStart w:id="7" w:name="_Toc26904"/>
      <w:bookmarkStart w:id="8" w:name="_Toc25303"/>
      <w:bookmarkStart w:id="9" w:name="_Toc7127"/>
      <w:r w:rsidRPr="00645AFA">
        <w:rPr>
          <w:rFonts w:ascii="Calibri" w:hAnsi="Calibri" w:cs="Times New Roman" w:hint="eastAsia"/>
          <w:b/>
          <w:bCs/>
          <w:spacing w:val="20"/>
          <w:sz w:val="24"/>
          <w:szCs w:val="32"/>
        </w:rPr>
        <w:t>《政府会计准则第</w:t>
      </w:r>
      <w:r w:rsidRPr="00645AFA">
        <w:rPr>
          <w:rFonts w:ascii="宋体" w:hAnsi="宋体" w:cs="宋体" w:hint="eastAsia"/>
          <w:b/>
          <w:bCs/>
          <w:spacing w:val="20"/>
          <w:sz w:val="24"/>
          <w:szCs w:val="32"/>
        </w:rPr>
        <w:t>3</w:t>
      </w:r>
      <w:r w:rsidRPr="00645AFA">
        <w:rPr>
          <w:rFonts w:ascii="Calibri" w:hAnsi="Calibri" w:cs="Times New Roman" w:hint="eastAsia"/>
          <w:b/>
          <w:bCs/>
          <w:spacing w:val="20"/>
          <w:sz w:val="24"/>
          <w:szCs w:val="32"/>
        </w:rPr>
        <w:t>号——固定资产》应用指南</w:t>
      </w:r>
      <w:bookmarkEnd w:id="5"/>
      <w:bookmarkEnd w:id="6"/>
      <w:bookmarkEnd w:id="7"/>
      <w:bookmarkEnd w:id="8"/>
      <w:bookmarkEnd w:id="9"/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szCs w:val="24"/>
        </w:rPr>
      </w:pPr>
      <w:r w:rsidRPr="00645AFA">
        <w:rPr>
          <w:rFonts w:ascii="宋体" w:hAnsi="宋体" w:cs="宋体" w:hint="eastAsia"/>
          <w:spacing w:val="20"/>
          <w:szCs w:val="24"/>
        </w:rPr>
        <w:t>一、关于固定资产折旧年限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szCs w:val="24"/>
        </w:rPr>
      </w:pPr>
      <w:r w:rsidRPr="00645AFA">
        <w:rPr>
          <w:rFonts w:ascii="宋体" w:hAnsi="宋体" w:cs="宋体" w:hint="eastAsia"/>
          <w:spacing w:val="20"/>
          <w:szCs w:val="24"/>
        </w:rPr>
        <w:t>（一）通常情况下，政府会计主体应当按照表1规定确定各类应计提折旧的固定资产的折旧年限。</w:t>
      </w:r>
    </w:p>
    <w:p w:rsidR="00645AFA" w:rsidRPr="00645AFA" w:rsidRDefault="00645AFA" w:rsidP="00645AFA">
      <w:pPr>
        <w:ind w:firstLineChars="200" w:firstLine="420"/>
        <w:rPr>
          <w:rFonts w:ascii="宋体" w:hAnsi="宋体" w:cs="宋体"/>
          <w:szCs w:val="24"/>
        </w:rPr>
      </w:pPr>
      <w:r w:rsidRPr="00645AFA">
        <w:rPr>
          <w:rFonts w:ascii="宋体" w:hAnsi="宋体" w:cs="宋体" w:hint="eastAsia"/>
          <w:szCs w:val="24"/>
        </w:rPr>
        <w:t>表1：政府固定资产折旧年限表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30" w:type="dxa"/>
          <w:left w:w="0" w:type="dxa"/>
          <w:right w:w="0" w:type="dxa"/>
        </w:tblCellMar>
        <w:tblLook w:val="04A0"/>
      </w:tblPr>
      <w:tblGrid>
        <w:gridCol w:w="1554"/>
        <w:gridCol w:w="1862"/>
        <w:gridCol w:w="2548"/>
        <w:gridCol w:w="2358"/>
      </w:tblGrid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固定资产类别</w:t>
            </w: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内    容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折旧年限（年）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widowControl/>
              <w:spacing w:after="210" w:line="27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房屋及构筑物</w:t>
            </w:r>
          </w:p>
        </w:tc>
        <w:tc>
          <w:tcPr>
            <w:tcW w:w="111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widowControl/>
              <w:spacing w:after="210" w:line="27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业务及管理用房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钢结构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钢筋混凝土结构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砖混结构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不低于30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200" w:firstLine="36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砖木结构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不低于30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简易房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不低于8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房屋附属设施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不低于8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构筑物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不低于8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widowControl/>
              <w:spacing w:after="210" w:line="27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通用设备</w:t>
            </w: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计算机设备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不低于6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办公设备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不低于6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车辆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不低于8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图书档案设备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机械设备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电气设备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雷达、无线电和卫星导航设备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通信设备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广播、电视、电影设备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仪器仪表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电子和通信测量设备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计量标准器具及量具、衡器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widowControl/>
              <w:spacing w:after="210" w:line="27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专用设备</w:t>
            </w: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探矿、采矿、选矿和造块设备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石油天然气开采专用设备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石油和化学工业专用设备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炼焦和金属冶炼轧制设备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电力工业专用设备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20-30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非金属矿物制品工业专用设备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核工业专用设备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20-30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航空航天工业专用设备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20-30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工程机械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农业和林业机械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木材采集和加工设备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食品加工专用设备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饮料加工设备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烟草加工设备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粮油作物和饲料加工设备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纺织设备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缝纫、服饰、制革和毛皮加工设备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造纸和印刷机械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化学药品和中药专用设备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医疗设备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电工、电子专用生产设备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安全生产设备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邮政专用设备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环境污染防治设备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公安专用设备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3-10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水工机械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殡葬设备及用品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铁路运输设备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水上交通运输设备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航空器及其配套设备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10-20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专用仪器仪表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5-10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文艺设备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体育设备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娱乐设备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5-15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家具、用具</w:t>
            </w:r>
          </w:p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及装具</w:t>
            </w: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家具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不低于15</w:t>
            </w:r>
          </w:p>
        </w:tc>
      </w:tr>
      <w:tr w:rsidR="00645AFA" w:rsidRPr="00645AFA" w:rsidTr="00645AFA">
        <w:trPr>
          <w:trHeight w:hRule="exact" w:val="369"/>
          <w:jc w:val="center"/>
        </w:trPr>
        <w:tc>
          <w:tcPr>
            <w:tcW w:w="9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ind w:firstLineChars="122" w:firstLine="22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用具、装具</w:t>
            </w:r>
          </w:p>
        </w:tc>
        <w:tc>
          <w:tcPr>
            <w:tcW w:w="14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645AFA" w:rsidRPr="00645AFA" w:rsidRDefault="00645AFA" w:rsidP="00645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45AFA">
              <w:rPr>
                <w:rFonts w:ascii="宋体" w:hAnsi="宋体" w:cs="宋体" w:hint="eastAsia"/>
                <w:sz w:val="18"/>
                <w:szCs w:val="18"/>
              </w:rPr>
              <w:t>不低于5</w:t>
            </w:r>
          </w:p>
        </w:tc>
      </w:tr>
    </w:tbl>
    <w:p w:rsidR="00645AFA" w:rsidRPr="00645AFA" w:rsidRDefault="00645AFA" w:rsidP="00645AFA">
      <w:pPr>
        <w:ind w:firstLineChars="200" w:firstLine="420"/>
        <w:rPr>
          <w:rFonts w:ascii="宋体" w:hAnsi="宋体" w:cs="宋体"/>
          <w:szCs w:val="24"/>
        </w:rPr>
      </w:pP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（二）国务院有关部门在遵循本应用指南中表1所规定的固定资产折旧年限的情况下，可以根据实际需要进一步细化本行业固定资产的类别，具体确定各类固定资产的折旧年限，并报财政部审核批准。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（三）政府会计主体应当在遵循本应用指南、主管部门有关折旧年限规定的情况下，根据固定资产的性质和实际使用情况，合理确定其折旧年限。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具体确定固定资产的折旧年限时，应当考虑下列因素：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1.固定资产预计实现服务潜力或提供经济利益的期限；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2.固定资产预计有形损耗和无形损耗；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3.法律或者类似规定对固定资产使用的限制。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（四）固定资产的折旧年限一经确定，不得随意变更。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因改建、扩建等原因而延长固定资产使用年限的，应当重新确定固定资</w:t>
      </w:r>
      <w:r w:rsidRPr="00645AFA">
        <w:rPr>
          <w:rFonts w:ascii="宋体" w:hAnsi="宋体" w:cs="宋体" w:hint="eastAsia"/>
          <w:spacing w:val="20"/>
          <w:kern w:val="0"/>
          <w:szCs w:val="24"/>
        </w:rPr>
        <w:lastRenderedPageBreak/>
        <w:t>产的折旧年限。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（五）政府会计主体盘盈、无偿调入、接受捐赠以及置换的固定资产，应当考虑该项资产的新旧程度，按照其尚可使用的年限计提折旧。</w:t>
      </w:r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二、关于固定资产折旧计提时点</w:t>
      </w:r>
      <w:r>
        <w:rPr>
          <w:rFonts w:ascii="宋体" w:hAnsi="宋体" w:cs="宋体" w:hint="eastAsia"/>
          <w:spacing w:val="20"/>
          <w:kern w:val="0"/>
          <w:szCs w:val="24"/>
        </w:rPr>
        <w:t>。</w:t>
      </w:r>
      <w:bookmarkStart w:id="10" w:name="_GoBack"/>
      <w:bookmarkEnd w:id="10"/>
    </w:p>
    <w:p w:rsidR="00645AFA" w:rsidRPr="00645AFA" w:rsidRDefault="00645AFA" w:rsidP="00645AFA">
      <w:pPr>
        <w:ind w:firstLineChars="200" w:firstLine="500"/>
        <w:rPr>
          <w:rFonts w:ascii="宋体" w:hAnsi="宋体" w:cs="宋体"/>
          <w:spacing w:val="20"/>
          <w:kern w:val="0"/>
          <w:szCs w:val="24"/>
        </w:rPr>
      </w:pPr>
      <w:r w:rsidRPr="00645AFA">
        <w:rPr>
          <w:rFonts w:ascii="宋体" w:hAnsi="宋体" w:cs="宋体" w:hint="eastAsia"/>
          <w:spacing w:val="20"/>
          <w:kern w:val="0"/>
          <w:szCs w:val="24"/>
        </w:rPr>
        <w:t>固定资产应当按月计提折旧，当月增加的固定资产，当月开始计提折旧；当月减少的固定资产，当月不再计提折旧。</w:t>
      </w:r>
    </w:p>
    <w:p w:rsidR="00004346" w:rsidRDefault="00645AFA" w:rsidP="00645AFA">
      <w:r w:rsidRPr="00645AFA">
        <w:rPr>
          <w:rFonts w:ascii="宋体" w:hAnsi="宋体" w:cs="宋体" w:hint="eastAsia"/>
          <w:spacing w:val="20"/>
          <w:kern w:val="0"/>
          <w:szCs w:val="24"/>
        </w:rPr>
        <w:t>固定资产提足折旧后，无论能否继续使用，均不再计提折旧；提前报废的固定资产，也不再补提折旧。已提足折旧的固定资产，可以继续使用的，应当继续使用，规范实物管理。</w:t>
      </w:r>
    </w:p>
    <w:sectPr w:rsidR="00004346" w:rsidSect="009D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92" w:rsidRDefault="00AA3792" w:rsidP="00645AFA">
      <w:r>
        <w:separator/>
      </w:r>
    </w:p>
  </w:endnote>
  <w:endnote w:type="continuationSeparator" w:id="1">
    <w:p w:rsidR="00AA3792" w:rsidRDefault="00AA3792" w:rsidP="0064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92" w:rsidRDefault="00AA3792" w:rsidP="00645AFA">
      <w:r>
        <w:separator/>
      </w:r>
    </w:p>
  </w:footnote>
  <w:footnote w:type="continuationSeparator" w:id="1">
    <w:p w:rsidR="00AA3792" w:rsidRDefault="00AA3792" w:rsidP="00645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43B"/>
    <w:rsid w:val="00004346"/>
    <w:rsid w:val="000654AB"/>
    <w:rsid w:val="002A0A5D"/>
    <w:rsid w:val="00310EC0"/>
    <w:rsid w:val="00645AFA"/>
    <w:rsid w:val="00727DB9"/>
    <w:rsid w:val="008A6164"/>
    <w:rsid w:val="009D37C1"/>
    <w:rsid w:val="00AA3792"/>
    <w:rsid w:val="00C12114"/>
    <w:rsid w:val="00F2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14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AFA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AFA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好人</dc:creator>
  <cp:keywords/>
  <dc:description/>
  <cp:lastModifiedBy>微软用户</cp:lastModifiedBy>
  <cp:revision>3</cp:revision>
  <dcterms:created xsi:type="dcterms:W3CDTF">2017-06-15T05:29:00Z</dcterms:created>
  <dcterms:modified xsi:type="dcterms:W3CDTF">2017-06-15T05:30:00Z</dcterms:modified>
</cp:coreProperties>
</file>